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E" w:rsidRDefault="00D7192A" w:rsidP="003B5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  <w:sz w:val="24"/>
          <w:szCs w:val="24"/>
        </w:rPr>
      </w:pPr>
      <w:r w:rsidRPr="006621FE">
        <w:rPr>
          <w:rFonts w:ascii="Times New Roman" w:hAnsi="Times New Roman" w:cs="Times New Roman"/>
          <w:b/>
          <w:color w:val="C00000"/>
          <w:sz w:val="28"/>
          <w:szCs w:val="28"/>
        </w:rPr>
        <w:t>Перечень документов</w:t>
      </w:r>
      <w:r w:rsidRPr="006621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8736E">
        <w:rPr>
          <w:rFonts w:ascii="Times New Roman" w:hAnsi="Times New Roman" w:cs="Times New Roman"/>
          <w:sz w:val="28"/>
          <w:szCs w:val="28"/>
        </w:rPr>
        <w:t xml:space="preserve">и (или) сведений, представляемых заинтересованными лицами в уполномоченный орган для осуществления административной процедуры: </w:t>
      </w:r>
      <w:r w:rsidR="003B5E0E" w:rsidRPr="006621FE">
        <w:rPr>
          <w:rFonts w:ascii="Times New Roman" w:hAnsi="Times New Roman" w:cs="Times New Roman"/>
          <w:b/>
          <w:color w:val="C00000"/>
          <w:sz w:val="28"/>
          <w:szCs w:val="28"/>
        </w:rPr>
        <w:t>Регистрация декларации о соответствии</w:t>
      </w:r>
      <w:r w:rsidR="003B5E0E" w:rsidRPr="006621FE">
        <w:rPr>
          <w:rFonts w:ascii="TimesNewRomanPSMT" w:hAnsi="TimesNewRomanPSMT" w:cs="TimesNewRomanPSMT"/>
          <w:color w:val="C00000"/>
          <w:sz w:val="24"/>
          <w:szCs w:val="24"/>
        </w:rPr>
        <w:t xml:space="preserve"> </w:t>
      </w:r>
    </w:p>
    <w:p w:rsidR="00D7192A" w:rsidRPr="003B5E0E" w:rsidRDefault="00D7192A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B5E0E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3B5E0E">
        <w:rPr>
          <w:rFonts w:ascii="Times New Roman" w:hAnsi="Times New Roman" w:cs="Times New Roman"/>
          <w:sz w:val="20"/>
          <w:szCs w:val="20"/>
        </w:rPr>
        <w:t>.</w:t>
      </w:r>
    </w:p>
    <w:p w:rsidR="00E12FC4" w:rsidRPr="003B5E0E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E0E">
        <w:rPr>
          <w:rFonts w:ascii="Times New Roman" w:hAnsi="Times New Roman" w:cs="Times New Roman"/>
          <w:sz w:val="20"/>
          <w:szCs w:val="20"/>
        </w:rPr>
        <w:t>ПОСТАНОВЛЕНИЕ СОВЕТА МИНИСТРОВ РЕСПУБЛИКИ БЕЛАРУСЬ</w:t>
      </w:r>
    </w:p>
    <w:p w:rsidR="00E12FC4" w:rsidRPr="003B5E0E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E0E">
        <w:rPr>
          <w:rFonts w:ascii="Times New Roman" w:hAnsi="Times New Roman" w:cs="Times New Roman"/>
          <w:sz w:val="20"/>
          <w:szCs w:val="20"/>
        </w:rPr>
        <w:t>17 февраля 2012 г. № 156</w:t>
      </w:r>
    </w:p>
    <w:p w:rsidR="00E12FC4" w:rsidRPr="003B5E0E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B5E0E">
        <w:rPr>
          <w:rFonts w:ascii="Times New Roman" w:hAnsi="Times New Roman" w:cs="Times New Roman"/>
          <w:bCs/>
          <w:sz w:val="20"/>
          <w:szCs w:val="20"/>
        </w:rPr>
        <w:t>Об утверждении единого перечня административных</w:t>
      </w:r>
      <w:r w:rsidR="006621FE" w:rsidRPr="003B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процедур, осуществляемых государственными органами и</w:t>
      </w:r>
      <w:r w:rsidR="006621FE" w:rsidRPr="003B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иными организациями в отношении юридических лиц и</w:t>
      </w:r>
    </w:p>
    <w:p w:rsidR="00E12FC4" w:rsidRPr="003B5E0E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B5E0E">
        <w:rPr>
          <w:rFonts w:ascii="Times New Roman" w:hAnsi="Times New Roman" w:cs="Times New Roman"/>
          <w:bCs/>
          <w:sz w:val="20"/>
          <w:szCs w:val="20"/>
        </w:rPr>
        <w:t xml:space="preserve">индивидуальных предпринимателей, </w:t>
      </w:r>
      <w:proofErr w:type="gramStart"/>
      <w:r w:rsidRPr="003B5E0E">
        <w:rPr>
          <w:rFonts w:ascii="Times New Roman" w:hAnsi="Times New Roman" w:cs="Times New Roman"/>
          <w:bCs/>
          <w:sz w:val="20"/>
          <w:szCs w:val="20"/>
        </w:rPr>
        <w:t>внесении</w:t>
      </w:r>
      <w:proofErr w:type="gramEnd"/>
      <w:r w:rsidRPr="003B5E0E">
        <w:rPr>
          <w:rFonts w:ascii="Times New Roman" w:hAnsi="Times New Roman" w:cs="Times New Roman"/>
          <w:bCs/>
          <w:sz w:val="20"/>
          <w:szCs w:val="20"/>
        </w:rPr>
        <w:t xml:space="preserve"> дополнения</w:t>
      </w:r>
      <w:r w:rsidR="006621FE" w:rsidRPr="003B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 xml:space="preserve">в постановление Совета </w:t>
      </w:r>
      <w:r w:rsidR="006621FE" w:rsidRPr="003B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Министров Республики Беларусь</w:t>
      </w:r>
    </w:p>
    <w:p w:rsidR="00E12FC4" w:rsidRPr="003B5E0E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B5E0E">
        <w:rPr>
          <w:rFonts w:ascii="Times New Roman" w:hAnsi="Times New Roman" w:cs="Times New Roman"/>
          <w:bCs/>
          <w:sz w:val="20"/>
          <w:szCs w:val="20"/>
        </w:rPr>
        <w:t xml:space="preserve">от 14 февраля 2009 г. № 193 и </w:t>
      </w:r>
      <w:proofErr w:type="gramStart"/>
      <w:r w:rsidRPr="003B5E0E">
        <w:rPr>
          <w:rFonts w:ascii="Times New Roman" w:hAnsi="Times New Roman" w:cs="Times New Roman"/>
          <w:bCs/>
          <w:sz w:val="20"/>
          <w:szCs w:val="20"/>
        </w:rPr>
        <w:t>признании</w:t>
      </w:r>
      <w:proofErr w:type="gramEnd"/>
      <w:r w:rsidRPr="003B5E0E">
        <w:rPr>
          <w:rFonts w:ascii="Times New Roman" w:hAnsi="Times New Roman" w:cs="Times New Roman"/>
          <w:bCs/>
          <w:sz w:val="20"/>
          <w:szCs w:val="20"/>
        </w:rPr>
        <w:t xml:space="preserve"> утратившими</w:t>
      </w:r>
      <w:r w:rsidR="00D7192A" w:rsidRPr="003B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силу некоторых постановлений Совета Министров</w:t>
      </w:r>
      <w:r w:rsidR="00D7192A" w:rsidRPr="003B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Республики Беларусь</w:t>
      </w:r>
    </w:p>
    <w:p w:rsidR="00E12FC4" w:rsidRPr="003B5E0E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B5E0E">
        <w:rPr>
          <w:rFonts w:ascii="Times New Roman" w:hAnsi="Times New Roman" w:cs="Times New Roman"/>
          <w:bCs/>
          <w:sz w:val="20"/>
          <w:szCs w:val="20"/>
        </w:rPr>
        <w:t>В редакции постановления Совета Министров Республики Беларусь от 14 апреля</w:t>
      </w:r>
    </w:p>
    <w:p w:rsidR="00E12FC4" w:rsidRPr="00D7192A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E0E">
        <w:rPr>
          <w:rFonts w:ascii="Times New Roman" w:hAnsi="Times New Roman" w:cs="Times New Roman"/>
          <w:bCs/>
          <w:sz w:val="20"/>
          <w:szCs w:val="20"/>
        </w:rPr>
        <w:t>2020 г. № 224 (</w:t>
      </w:r>
      <w:r w:rsidRPr="00D7192A">
        <w:rPr>
          <w:rFonts w:ascii="Times New Roman" w:hAnsi="Times New Roman" w:cs="Times New Roman"/>
          <w:bCs/>
          <w:sz w:val="20"/>
          <w:szCs w:val="20"/>
        </w:rPr>
        <w:t>Национальный правовой Интернет-портал Республики Беларусь, 16.04.2020,</w:t>
      </w:r>
      <w:r w:rsidR="00F15D55" w:rsidRPr="00D719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192A">
        <w:rPr>
          <w:rFonts w:ascii="Times New Roman" w:hAnsi="Times New Roman" w:cs="Times New Roman"/>
          <w:bCs/>
          <w:sz w:val="20"/>
          <w:szCs w:val="20"/>
        </w:rPr>
        <w:t>5/47995).</w:t>
      </w:r>
    </w:p>
    <w:p w:rsidR="00D7192A" w:rsidRPr="00D7192A" w:rsidRDefault="00D7192A" w:rsidP="00D7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7192A">
        <w:rPr>
          <w:rFonts w:ascii="Times New Roman" w:hAnsi="Times New Roman" w:cs="Times New Roman"/>
          <w:b/>
          <w:color w:val="C00000"/>
          <w:sz w:val="24"/>
          <w:szCs w:val="24"/>
        </w:rPr>
        <w:t>п. 23.5</w:t>
      </w:r>
    </w:p>
    <w:p w:rsidR="00E12FC4" w:rsidRDefault="00E12FC4" w:rsidP="00E12F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2FC4" w:rsidRPr="00F74FBC" w:rsidRDefault="00D31CC9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заявление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</w:p>
    <w:p w:rsidR="00E12FC4" w:rsidRPr="00F74FBC" w:rsidRDefault="00D31CC9" w:rsidP="00E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декларация о соответствии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</w:p>
    <w:p w:rsidR="008A4BAB" w:rsidRPr="006513AA" w:rsidRDefault="00D31CC9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свидетельство 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государственной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регистрации юридического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лица или физического лица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в качестве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индивидуального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предпр</w:t>
      </w:r>
      <w:r w:rsidRPr="006513AA">
        <w:rPr>
          <w:rFonts w:ascii="Times New Roman" w:hAnsi="Times New Roman" w:cs="Times New Roman"/>
          <w:sz w:val="24"/>
          <w:szCs w:val="24"/>
        </w:rPr>
        <w:t xml:space="preserve">инимателя </w:t>
      </w:r>
      <w:r w:rsidR="00E12FC4" w:rsidRPr="006513AA">
        <w:rPr>
          <w:rFonts w:ascii="Times New Roman" w:hAnsi="Times New Roman" w:cs="Times New Roman"/>
          <w:sz w:val="24"/>
          <w:szCs w:val="24"/>
        </w:rPr>
        <w:t xml:space="preserve"> либо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договор юридического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лица или физического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лица, зарегистрированного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в качестве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индивидуального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предпринимателя, с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иностранным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изготовителем 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 </w:t>
      </w:r>
      <w:r w:rsidR="00E12FC4" w:rsidRPr="006513AA">
        <w:rPr>
          <w:rFonts w:ascii="Times New Roman" w:hAnsi="Times New Roman" w:cs="Times New Roman"/>
          <w:sz w:val="24"/>
          <w:szCs w:val="24"/>
        </w:rPr>
        <w:t>выполнении функций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иностранного изготовителя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в части обеспечения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соответствия поставляемой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продукции требованиям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Таможенного союза и в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части ответственности за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несоответствие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требованиям технических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регламентов Таможенного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союза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  <w:r w:rsidR="00397BBD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2FC4" w:rsidRPr="00F74FBC" w:rsidRDefault="00397BBD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разрешение на открытие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иностранной организации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в Республике Беларусь</w:t>
      </w:r>
      <w:r w:rsidR="008A4BAB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</w:p>
    <w:p w:rsidR="00E12FC4" w:rsidRPr="00F74FBC" w:rsidRDefault="00397BBD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протокол испытаний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продукции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</w:p>
    <w:p w:rsidR="00E12FC4" w:rsidRPr="00F74FBC" w:rsidRDefault="00397BBD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образец маркировки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продукции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</w:p>
    <w:p w:rsidR="00E12FC4" w:rsidRPr="00F74FBC" w:rsidRDefault="00397BBD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на систему управления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качеством или систему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управления безопасностью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продукции либо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документы изготовителя,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подтверждающие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проведение им контроля в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процессе производства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продукции (при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 xml:space="preserve">регистрации </w:t>
      </w:r>
      <w:proofErr w:type="gramStart"/>
      <w:r w:rsidR="00E12FC4" w:rsidRPr="006513AA">
        <w:rPr>
          <w:rFonts w:ascii="Times New Roman" w:hAnsi="Times New Roman" w:cs="Times New Roman"/>
          <w:sz w:val="24"/>
          <w:szCs w:val="24"/>
        </w:rPr>
        <w:t>декларации</w:t>
      </w:r>
      <w:proofErr w:type="gramEnd"/>
      <w:r w:rsidR="00E12FC4" w:rsidRPr="006513AA">
        <w:rPr>
          <w:rFonts w:ascii="Times New Roman" w:hAnsi="Times New Roman" w:cs="Times New Roman"/>
          <w:sz w:val="24"/>
          <w:szCs w:val="24"/>
        </w:rPr>
        <w:t xml:space="preserve"> о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соответствии серийно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выпускаемой продукции)</w:t>
      </w:r>
      <w:r w:rsidR="00F74FBC" w:rsidRPr="00F74FBC">
        <w:rPr>
          <w:rFonts w:ascii="Times New Roman" w:hAnsi="Times New Roman" w:cs="Times New Roman"/>
          <w:sz w:val="24"/>
          <w:szCs w:val="24"/>
        </w:rPr>
        <w:t>;</w:t>
      </w:r>
    </w:p>
    <w:p w:rsidR="00F74FBC" w:rsidRPr="00D7192A" w:rsidRDefault="00397BBD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AA">
        <w:rPr>
          <w:rFonts w:ascii="Times New Roman" w:hAnsi="Times New Roman" w:cs="Times New Roman"/>
          <w:sz w:val="24"/>
          <w:szCs w:val="24"/>
        </w:rPr>
        <w:t xml:space="preserve">- </w:t>
      </w:r>
      <w:r w:rsidR="00E12FC4" w:rsidRPr="006513AA">
        <w:rPr>
          <w:rFonts w:ascii="Times New Roman" w:hAnsi="Times New Roman" w:cs="Times New Roman"/>
          <w:sz w:val="24"/>
          <w:szCs w:val="24"/>
        </w:rPr>
        <w:t>документ,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подтверждающий внесение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E12FC4" w:rsidRPr="006513AA">
        <w:rPr>
          <w:rFonts w:ascii="Times New Roman" w:hAnsi="Times New Roman" w:cs="Times New Roman"/>
          <w:sz w:val="24"/>
          <w:szCs w:val="24"/>
        </w:rPr>
        <w:t>платы</w:t>
      </w:r>
      <w:r w:rsidRPr="0065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BC" w:rsidRPr="00D7192A" w:rsidRDefault="00F74FBC" w:rsidP="00E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C4" w:rsidRDefault="00E12FC4" w:rsidP="006A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BC">
        <w:rPr>
          <w:rFonts w:ascii="Times New Roman" w:hAnsi="Times New Roman" w:cs="Times New Roman"/>
          <w:b/>
          <w:sz w:val="24"/>
          <w:szCs w:val="24"/>
        </w:rPr>
        <w:t>для выдачи решения о</w:t>
      </w:r>
      <w:r w:rsidR="00A71B80" w:rsidRPr="00F7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BC">
        <w:rPr>
          <w:rFonts w:ascii="Times New Roman" w:hAnsi="Times New Roman" w:cs="Times New Roman"/>
          <w:b/>
          <w:sz w:val="24"/>
          <w:szCs w:val="24"/>
        </w:rPr>
        <w:t>прекращении действия</w:t>
      </w:r>
      <w:r w:rsidR="00A71B80" w:rsidRPr="00F7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BC">
        <w:rPr>
          <w:rFonts w:ascii="Times New Roman" w:hAnsi="Times New Roman" w:cs="Times New Roman"/>
          <w:b/>
          <w:sz w:val="24"/>
          <w:szCs w:val="24"/>
        </w:rPr>
        <w:t>регистрации декларации о</w:t>
      </w:r>
      <w:r w:rsidR="00A71B80" w:rsidRPr="00F7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BC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6513AA">
        <w:rPr>
          <w:rFonts w:ascii="Times New Roman" w:hAnsi="Times New Roman" w:cs="Times New Roman"/>
          <w:sz w:val="24"/>
          <w:szCs w:val="24"/>
        </w:rPr>
        <w:t xml:space="preserve"> – заявление о</w:t>
      </w:r>
      <w:r w:rsidR="00F74FBC" w:rsidRPr="00F74FBC">
        <w:rPr>
          <w:rFonts w:ascii="Times New Roman" w:hAnsi="Times New Roman" w:cs="Times New Roman"/>
          <w:sz w:val="24"/>
          <w:szCs w:val="24"/>
        </w:rPr>
        <w:t xml:space="preserve"> </w:t>
      </w:r>
      <w:r w:rsidRPr="006513AA">
        <w:rPr>
          <w:rFonts w:ascii="Times New Roman" w:hAnsi="Times New Roman" w:cs="Times New Roman"/>
          <w:sz w:val="24"/>
          <w:szCs w:val="24"/>
        </w:rPr>
        <w:t>прекращении действия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 </w:t>
      </w:r>
      <w:r w:rsidRPr="006513AA">
        <w:rPr>
          <w:rFonts w:ascii="Times New Roman" w:hAnsi="Times New Roman" w:cs="Times New Roman"/>
          <w:sz w:val="24"/>
          <w:szCs w:val="24"/>
        </w:rPr>
        <w:t>регистрации декларации о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 </w:t>
      </w:r>
      <w:r w:rsidRPr="006513AA">
        <w:rPr>
          <w:rFonts w:ascii="Times New Roman" w:hAnsi="Times New Roman" w:cs="Times New Roman"/>
          <w:sz w:val="24"/>
          <w:szCs w:val="24"/>
        </w:rPr>
        <w:t>соответствии с указанием</w:t>
      </w:r>
      <w:r w:rsidR="00F74FBC" w:rsidRPr="00F74FBC">
        <w:rPr>
          <w:rFonts w:ascii="Times New Roman" w:hAnsi="Times New Roman" w:cs="Times New Roman"/>
          <w:sz w:val="24"/>
          <w:szCs w:val="24"/>
        </w:rPr>
        <w:t xml:space="preserve"> </w:t>
      </w:r>
      <w:r w:rsidRPr="006513AA">
        <w:rPr>
          <w:rFonts w:ascii="Times New Roman" w:hAnsi="Times New Roman" w:cs="Times New Roman"/>
          <w:sz w:val="24"/>
          <w:szCs w:val="24"/>
        </w:rPr>
        <w:t>даты составления заявления и</w:t>
      </w:r>
      <w:r w:rsidR="00A71B80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6A5579" w:rsidRPr="006513AA">
        <w:rPr>
          <w:rFonts w:ascii="Times New Roman" w:hAnsi="Times New Roman" w:cs="Times New Roman"/>
          <w:sz w:val="24"/>
          <w:szCs w:val="24"/>
        </w:rPr>
        <w:t>регистрационного номера декларации о соответствии,</w:t>
      </w:r>
      <w:r w:rsidR="00F15D55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6A5579" w:rsidRPr="006513AA">
        <w:rPr>
          <w:rFonts w:ascii="Times New Roman" w:hAnsi="Times New Roman" w:cs="Times New Roman"/>
          <w:sz w:val="24"/>
          <w:szCs w:val="24"/>
        </w:rPr>
        <w:t>действие регистрации которой</w:t>
      </w:r>
      <w:r w:rsidR="00F15D55" w:rsidRPr="006513AA">
        <w:rPr>
          <w:rFonts w:ascii="Times New Roman" w:hAnsi="Times New Roman" w:cs="Times New Roman"/>
          <w:sz w:val="24"/>
          <w:szCs w:val="24"/>
        </w:rPr>
        <w:t xml:space="preserve"> </w:t>
      </w:r>
      <w:r w:rsidR="006A5579" w:rsidRPr="006513AA">
        <w:rPr>
          <w:rFonts w:ascii="Times New Roman" w:hAnsi="Times New Roman" w:cs="Times New Roman"/>
          <w:sz w:val="24"/>
          <w:szCs w:val="24"/>
        </w:rPr>
        <w:t>необходимо прекратить</w:t>
      </w:r>
      <w:r w:rsidR="006621FE">
        <w:rPr>
          <w:rFonts w:ascii="Times New Roman" w:hAnsi="Times New Roman" w:cs="Times New Roman"/>
          <w:sz w:val="24"/>
          <w:szCs w:val="24"/>
        </w:rPr>
        <w:t>.</w:t>
      </w:r>
    </w:p>
    <w:p w:rsidR="006621FE" w:rsidRDefault="006621FE" w:rsidP="006A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FE" w:rsidRDefault="006621FE" w:rsidP="006A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1B" w:rsidRDefault="00B80E1B" w:rsidP="00B80E1B">
      <w:pPr>
        <w:pStyle w:val="zagrazdel"/>
      </w:pPr>
    </w:p>
    <w:p w:rsidR="00776207" w:rsidRDefault="00776207" w:rsidP="00B80E1B">
      <w:pPr>
        <w:pStyle w:val="zagrazdel"/>
      </w:pPr>
    </w:p>
    <w:p w:rsidR="00776207" w:rsidRDefault="00776207" w:rsidP="00B80E1B">
      <w:pPr>
        <w:pStyle w:val="zagrazdel"/>
      </w:pPr>
    </w:p>
    <w:p w:rsidR="00697804" w:rsidRDefault="00697804" w:rsidP="00697804">
      <w:pPr>
        <w:pStyle w:val="zagrazdel"/>
        <w:jc w:val="left"/>
        <w:rPr>
          <w:i/>
        </w:rPr>
      </w:pPr>
    </w:p>
    <w:p w:rsidR="00B80E1B" w:rsidRDefault="00697804" w:rsidP="00697804">
      <w:pPr>
        <w:pStyle w:val="zagrazdel"/>
        <w:jc w:val="left"/>
        <w:rPr>
          <w:i/>
        </w:rPr>
      </w:pPr>
      <w:r w:rsidRPr="00697804">
        <w:rPr>
          <w:i/>
        </w:rPr>
        <w:lastRenderedPageBreak/>
        <w:t>дополнительно:</w:t>
      </w:r>
    </w:p>
    <w:p w:rsidR="00697804" w:rsidRPr="00697804" w:rsidRDefault="00697804" w:rsidP="00697804">
      <w:pPr>
        <w:pStyle w:val="a3"/>
        <w:rPr>
          <w:rFonts w:ascii="Times New Roman" w:hAnsi="Times New Roman" w:cs="Times New Roman"/>
        </w:rPr>
      </w:pPr>
      <w:proofErr w:type="gramStart"/>
      <w:r w:rsidRPr="00697804">
        <w:rPr>
          <w:rFonts w:ascii="Times New Roman" w:hAnsi="Times New Roman" w:cs="Times New Roman"/>
        </w:rPr>
        <w:t>См</w:t>
      </w:r>
      <w:proofErr w:type="gramEnd"/>
      <w:r w:rsidRPr="00697804">
        <w:rPr>
          <w:rFonts w:ascii="Times New Roman" w:hAnsi="Times New Roman" w:cs="Times New Roman"/>
        </w:rPr>
        <w:t>.</w:t>
      </w:r>
    </w:p>
    <w:p w:rsidR="00F030D5" w:rsidRPr="00697804" w:rsidRDefault="00F030D5" w:rsidP="00697804">
      <w:pPr>
        <w:pStyle w:val="a3"/>
        <w:rPr>
          <w:rFonts w:ascii="Times New Roman" w:hAnsi="Times New Roman" w:cs="Times New Roman"/>
        </w:rPr>
      </w:pPr>
      <w:r w:rsidRPr="00697804">
        <w:rPr>
          <w:rFonts w:ascii="Times New Roman" w:hAnsi="Times New Roman" w:cs="Times New Roman"/>
        </w:rPr>
        <w:t>ПОСТАНОВЛЕНИЕ ГОСУДАРСТВЕННОГО КОМИТЕТА ПО СТАНДАРТИЗАЦИИ РЕСПУБЛИКИ БЕЛАРУСЬ</w:t>
      </w:r>
    </w:p>
    <w:p w:rsidR="00F030D5" w:rsidRPr="00697804" w:rsidRDefault="00F030D5" w:rsidP="00697804">
      <w:pPr>
        <w:pStyle w:val="a3"/>
        <w:rPr>
          <w:rFonts w:ascii="Times New Roman" w:hAnsi="Times New Roman" w:cs="Times New Roman"/>
        </w:rPr>
      </w:pPr>
      <w:r w:rsidRPr="00697804">
        <w:rPr>
          <w:rFonts w:ascii="Times New Roman" w:hAnsi="Times New Roman" w:cs="Times New Roman"/>
        </w:rPr>
        <w:t>25 июля 2017 г. № 61</w:t>
      </w:r>
    </w:p>
    <w:p w:rsidR="000B7ADE" w:rsidRPr="00697804" w:rsidRDefault="00F030D5" w:rsidP="00697804">
      <w:pPr>
        <w:pStyle w:val="a3"/>
        <w:rPr>
          <w:rFonts w:ascii="Times New Roman" w:hAnsi="Times New Roman" w:cs="Times New Roman"/>
        </w:rPr>
      </w:pPr>
      <w:r w:rsidRPr="00697804">
        <w:rPr>
          <w:rFonts w:ascii="Times New Roman" w:hAnsi="Times New Roman" w:cs="Times New Roman"/>
        </w:rPr>
        <w:t xml:space="preserve">Об утверждении Правил подтверждения соответствия </w:t>
      </w:r>
    </w:p>
    <w:p w:rsidR="00F030D5" w:rsidRPr="00697804" w:rsidRDefault="00F030D5" w:rsidP="00697804">
      <w:pPr>
        <w:pStyle w:val="a3"/>
        <w:rPr>
          <w:rFonts w:ascii="Times New Roman" w:hAnsi="Times New Roman" w:cs="Times New Roman"/>
        </w:rPr>
      </w:pPr>
      <w:r w:rsidRPr="00697804">
        <w:rPr>
          <w:rFonts w:ascii="Times New Roman" w:hAnsi="Times New Roman" w:cs="Times New Roman"/>
        </w:rPr>
        <w:t>Национальной системы подтверждения соответствия Республики Беларусь</w:t>
      </w:r>
    </w:p>
    <w:p w:rsidR="00B80E1B" w:rsidRPr="00697804" w:rsidRDefault="00B80E1B" w:rsidP="00697804">
      <w:pPr>
        <w:pStyle w:val="a3"/>
        <w:rPr>
          <w:rFonts w:ascii="Times New Roman" w:hAnsi="Times New Roman" w:cs="Times New Roman"/>
        </w:rPr>
      </w:pPr>
      <w:r w:rsidRPr="00697804">
        <w:rPr>
          <w:rFonts w:ascii="Times New Roman" w:hAnsi="Times New Roman" w:cs="Times New Roman"/>
        </w:rPr>
        <w:t>РАЗДЕЛ VI</w:t>
      </w:r>
      <w:r w:rsidRPr="00697804">
        <w:rPr>
          <w:rFonts w:ascii="Times New Roman" w:hAnsi="Times New Roman" w:cs="Times New Roman"/>
        </w:rPr>
        <w:br/>
      </w:r>
      <w:r w:rsidRPr="00176ED8">
        <w:rPr>
          <w:rFonts w:ascii="Times New Roman" w:hAnsi="Times New Roman" w:cs="Times New Roman"/>
          <w:b/>
        </w:rPr>
        <w:t>ПРАВИЛА ДЕКЛАРИРОВАНИЯ СООТВЕТСТВИЯ</w:t>
      </w:r>
    </w:p>
    <w:p w:rsidR="00B80E1B" w:rsidRPr="00697804" w:rsidRDefault="00B80E1B" w:rsidP="00697804">
      <w:pPr>
        <w:pStyle w:val="a3"/>
        <w:rPr>
          <w:rFonts w:ascii="Times New Roman" w:hAnsi="Times New Roman" w:cs="Times New Roman"/>
        </w:rPr>
      </w:pPr>
      <w:bookmarkStart w:id="0" w:name="a124"/>
      <w:bookmarkEnd w:id="0"/>
      <w:r w:rsidRPr="00697804">
        <w:rPr>
          <w:rFonts w:ascii="Times New Roman" w:hAnsi="Times New Roman" w:cs="Times New Roman"/>
        </w:rPr>
        <w:t>ГЛАВА 36</w:t>
      </w:r>
      <w:r w:rsidRPr="00697804">
        <w:rPr>
          <w:rFonts w:ascii="Times New Roman" w:hAnsi="Times New Roman" w:cs="Times New Roman"/>
        </w:rPr>
        <w:br/>
        <w:t>ОБЩИЕ ПОЛОЖЕНИЯ ДЕКЛАРИРОВАНИЯ СООТВЕТСТВИЯ</w:t>
      </w:r>
    </w:p>
    <w:p w:rsidR="0094362E" w:rsidRPr="00327481" w:rsidRDefault="0094362E" w:rsidP="0094362E">
      <w:pPr>
        <w:pStyle w:val="point"/>
      </w:pPr>
      <w:r w:rsidRPr="00327481">
        <w:t xml:space="preserve">308. </w:t>
      </w:r>
      <w:proofErr w:type="gramStart"/>
      <w:r w:rsidRPr="00327481">
        <w:t>Основанием для принятия декларации о соответствии, если иное не установлено соответствующим техническим регламентом, являются документы, содержащие сведения о результатах испытаний, исследований и (или) измерений, а также документы об оценке соответствия и (или) иные документы, доказывающие соответствие объекта оценки соответствия техническим требованиям, и (или) документы, подтверждающие в необходимых случаях правовой статус и (или) право изготовителя или уполномоченного изготовителем лица либо продавца</w:t>
      </w:r>
      <w:proofErr w:type="gramEnd"/>
      <w:r w:rsidRPr="00327481">
        <w:t xml:space="preserve"> (поставщика) принимать декларацию о соответствии.</w:t>
      </w:r>
    </w:p>
    <w:p w:rsidR="0094362E" w:rsidRPr="00327481" w:rsidRDefault="0094362E" w:rsidP="0094362E">
      <w:pPr>
        <w:pStyle w:val="point"/>
      </w:pPr>
      <w:r w:rsidRPr="00327481">
        <w:t xml:space="preserve">309. </w:t>
      </w:r>
      <w:r w:rsidRPr="00176ED8">
        <w:t>Состав доказательственных материалов</w:t>
      </w:r>
      <w:r w:rsidRPr="00327481">
        <w:t xml:space="preserve"> устанавливается техническим регламентом. В случае если технический регламент отсутствует либо если состав доказательственных материалов им не определен, - </w:t>
      </w:r>
      <w:r w:rsidRPr="00176ED8">
        <w:rPr>
          <w:b/>
        </w:rPr>
        <w:t xml:space="preserve">в состав доказательственных материалов </w:t>
      </w:r>
      <w:r w:rsidRPr="00176ED8">
        <w:t>в соответствии со схемой декларирования</w:t>
      </w:r>
      <w:r w:rsidRPr="00176ED8">
        <w:rPr>
          <w:b/>
        </w:rPr>
        <w:t xml:space="preserve"> соответствия включаются</w:t>
      </w:r>
      <w:r w:rsidRPr="00327481">
        <w:t>:</w:t>
      </w:r>
    </w:p>
    <w:p w:rsidR="0094362E" w:rsidRPr="00327481" w:rsidRDefault="0094362E" w:rsidP="0094362E">
      <w:pPr>
        <w:pStyle w:val="newncpi"/>
      </w:pPr>
      <w:r w:rsidRPr="00327481">
        <w:t>протоколы испытаний;</w:t>
      </w:r>
    </w:p>
    <w:p w:rsidR="0094362E" w:rsidRPr="00327481" w:rsidRDefault="0094362E" w:rsidP="0094362E">
      <w:pPr>
        <w:pStyle w:val="newncpi"/>
      </w:pPr>
      <w:r w:rsidRPr="00327481">
        <w:t>заключение по результатам исследования типа продукции (если предусмотрено схемой декларирования соответствия);</w:t>
      </w:r>
    </w:p>
    <w:p w:rsidR="0094362E" w:rsidRPr="00327481" w:rsidRDefault="0094362E" w:rsidP="0094362E">
      <w:pPr>
        <w:pStyle w:val="newncpi"/>
      </w:pPr>
      <w:r w:rsidRPr="00327481">
        <w:t>сертификаты соответствия на систему менеджмента качества (систему менеджмента безопасности пищевой продукции), выданные в рамках Системы (если предусмотрено схемой декларирования соответствия);</w:t>
      </w:r>
    </w:p>
    <w:p w:rsidR="0094362E" w:rsidRPr="00327481" w:rsidRDefault="0094362E" w:rsidP="0094362E">
      <w:pPr>
        <w:pStyle w:val="newncpi"/>
      </w:pPr>
      <w:r w:rsidRPr="00327481">
        <w:t>иные документы, подтверждающие соответствие продукции установленным требованиям, предусмотренные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предпринимателей;</w:t>
      </w:r>
    </w:p>
    <w:p w:rsidR="0094362E" w:rsidRPr="00327481" w:rsidRDefault="0094362E" w:rsidP="0094362E">
      <w:pPr>
        <w:pStyle w:val="newncpi"/>
      </w:pPr>
      <w:r w:rsidRPr="00327481">
        <w:t>свидетельство о государственной регистрации юридического лица или индивидуального предпринимателя в Республике Беларусь;</w:t>
      </w:r>
    </w:p>
    <w:p w:rsidR="0094362E" w:rsidRPr="00327481" w:rsidRDefault="0094362E" w:rsidP="0094362E">
      <w:pPr>
        <w:pStyle w:val="newncpi"/>
      </w:pPr>
      <w:r w:rsidRPr="00327481">
        <w:t>договор (контракт), накладная и другие товаросопроводительные документы (для продавца (поставщика));</w:t>
      </w:r>
    </w:p>
    <w:p w:rsidR="0094362E" w:rsidRPr="00327481" w:rsidRDefault="0094362E" w:rsidP="0094362E">
      <w:pPr>
        <w:pStyle w:val="newncpi"/>
      </w:pPr>
      <w:r w:rsidRPr="00327481">
        <w:t>договор с изготовителем, в том числе иностранным изготовителем, на осуществление действия от имени этого изготовителя при оценке соответствия и выпуске в обращение продукции, а также ответственности за несоответствие продукции установленным требованиям (для уполномоченного изготовителем лица).</w:t>
      </w:r>
    </w:p>
    <w:p w:rsidR="0094362E" w:rsidRPr="00327481" w:rsidRDefault="0094362E" w:rsidP="0094362E">
      <w:pPr>
        <w:pStyle w:val="point"/>
      </w:pPr>
      <w:r w:rsidRPr="00327481">
        <w:t xml:space="preserve">310. По решению лица, принимающего декларацию, в </w:t>
      </w:r>
      <w:r w:rsidRPr="00176ED8">
        <w:rPr>
          <w:b/>
        </w:rPr>
        <w:t xml:space="preserve">состав доказательственных материалов </w:t>
      </w:r>
      <w:r w:rsidRPr="00327481">
        <w:t>могут включаться:</w:t>
      </w:r>
    </w:p>
    <w:p w:rsidR="0094362E" w:rsidRPr="00327481" w:rsidRDefault="0094362E" w:rsidP="0094362E">
      <w:pPr>
        <w:pStyle w:val="newncpi"/>
      </w:pPr>
      <w:r w:rsidRPr="00327481">
        <w:lastRenderedPageBreak/>
        <w:t>конструкторская и технологическая документация;</w:t>
      </w:r>
    </w:p>
    <w:p w:rsidR="0094362E" w:rsidRPr="00327481" w:rsidRDefault="0094362E" w:rsidP="0094362E">
      <w:pPr>
        <w:pStyle w:val="newncpi"/>
      </w:pPr>
      <w:r w:rsidRPr="00327481">
        <w:t>сертификаты соответствия на системы менеджмента качества (системы менеджмента безопасности продукции), в том числе полученные за пределами Республики Беларусь и вне Системы;</w:t>
      </w:r>
    </w:p>
    <w:p w:rsidR="0094362E" w:rsidRPr="00327481" w:rsidRDefault="0094362E" w:rsidP="0094362E">
      <w:pPr>
        <w:pStyle w:val="newncpi"/>
      </w:pPr>
      <w:r w:rsidRPr="00327481">
        <w:t>сертификаты соответствия, протоколы испытаний на продукцию при наличии в них подтверждения соответствия установленным требованиям;</w:t>
      </w:r>
    </w:p>
    <w:p w:rsidR="0094362E" w:rsidRDefault="0094362E" w:rsidP="0094362E">
      <w:pPr>
        <w:pStyle w:val="newncpi"/>
      </w:pPr>
      <w:r w:rsidRPr="00327481">
        <w:t>сертификаты соответствия, протоколы испытаний на сырье, материалы, комплектующие изделия или составные части, применяемые при производстве продукции, на которую принимается декларация о соответствии.</w:t>
      </w:r>
    </w:p>
    <w:p w:rsidR="00C61A50" w:rsidRPr="00327481" w:rsidRDefault="00C61A50" w:rsidP="00C61A50">
      <w:pPr>
        <w:pStyle w:val="point"/>
      </w:pPr>
      <w:r w:rsidRPr="00327481">
        <w:t>311. Условиями, обеспечивающими возможность использования лицом, принимающим декларацию, доказательственных материалов, являются:</w:t>
      </w:r>
    </w:p>
    <w:p w:rsidR="00C61A50" w:rsidRPr="00327481" w:rsidRDefault="00C61A50" w:rsidP="00C61A50">
      <w:pPr>
        <w:pStyle w:val="newncpi"/>
      </w:pPr>
      <w:r w:rsidRPr="00327481">
        <w:t xml:space="preserve">для протоколов испытаний - наличие в них значений характеристик, подтверждающих соответствие продукции установленным техническим требованиям. </w:t>
      </w:r>
      <w:proofErr w:type="gramStart"/>
      <w:r w:rsidRPr="00327481">
        <w:t>Протоколы испытаний продукции применяются в общем случае в течение 2 лет при отсутствии изменений в конструкции и составе продукции, влияющих на технические требования, подтверждаемые при декларировании соответствия, изменений в документах, по которым изготовлена продукция и на соответствие которым зарегистрирована декларация о соответствии, влияющих на технические требования продукции, подтверждаемые при декларировании соответствия.</w:t>
      </w:r>
      <w:proofErr w:type="gramEnd"/>
      <w:r w:rsidRPr="00327481">
        <w:t xml:space="preserve"> Для пищевых продуктов, продовольственного сырья, кормов и кормовых добавок такие протоколы испытаний применяются в течение 1 года, для строительных материалов и изделий - в соответствии с техническим регламентом Республики Беларусь «Здания и сооружения, строительные материалы и изделия. Безопасность» (</w:t>
      </w:r>
      <w:proofErr w:type="gramStart"/>
      <w:r w:rsidRPr="00327481">
        <w:t>ТР</w:t>
      </w:r>
      <w:proofErr w:type="gramEnd"/>
      <w:r w:rsidRPr="00327481">
        <w:t xml:space="preserve"> 2009/013/BY), для электрических энергопотребляющих устройств (при декларировании соответствия на соответствие техническим требованиям энергетической эффективности) - бессрочно;</w:t>
      </w:r>
    </w:p>
    <w:p w:rsidR="00C61A50" w:rsidRPr="00327481" w:rsidRDefault="00C61A50" w:rsidP="00C61A50">
      <w:pPr>
        <w:pStyle w:val="newncpi"/>
      </w:pPr>
      <w:r w:rsidRPr="00327481">
        <w:t>все документы должны распространяться на декларируемую продукцию;</w:t>
      </w:r>
    </w:p>
    <w:p w:rsidR="00C61A50" w:rsidRPr="00327481" w:rsidRDefault="00C61A50" w:rsidP="00C61A50">
      <w:pPr>
        <w:pStyle w:val="newncpi"/>
      </w:pPr>
      <w:bookmarkStart w:id="1" w:name="_GoBack"/>
      <w:r w:rsidRPr="00176ED8">
        <w:rPr>
          <w:b/>
        </w:rPr>
        <w:t>копии документов должны быть заверены подписью лица, принимающего декларацию</w:t>
      </w:r>
      <w:bookmarkEnd w:id="1"/>
      <w:r w:rsidRPr="00327481">
        <w:t>;</w:t>
      </w:r>
    </w:p>
    <w:p w:rsidR="00C61A50" w:rsidRPr="00327481" w:rsidRDefault="00C61A50" w:rsidP="00C61A50">
      <w:pPr>
        <w:pStyle w:val="newncpi"/>
      </w:pPr>
      <w:r w:rsidRPr="00327481">
        <w:t>документы, исполненные на иностранном языке, должны сопровождаться переводом на белорусский или русский язык, заверенным подписью лица, принимающего декларацию.</w:t>
      </w:r>
    </w:p>
    <w:p w:rsidR="00B80E1B" w:rsidRPr="00327481" w:rsidRDefault="00B80E1B" w:rsidP="00B80E1B">
      <w:pPr>
        <w:pStyle w:val="chapter"/>
      </w:pPr>
    </w:p>
    <w:p w:rsidR="00B80E1B" w:rsidRPr="006513AA" w:rsidRDefault="00B80E1B" w:rsidP="006A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E1B" w:rsidRPr="0065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4"/>
    <w:rsid w:val="000B7ADE"/>
    <w:rsid w:val="00176ED8"/>
    <w:rsid w:val="0031529B"/>
    <w:rsid w:val="00397BBD"/>
    <w:rsid w:val="003B5E0E"/>
    <w:rsid w:val="0057470C"/>
    <w:rsid w:val="006513AA"/>
    <w:rsid w:val="006621FE"/>
    <w:rsid w:val="00697804"/>
    <w:rsid w:val="006A5579"/>
    <w:rsid w:val="00776207"/>
    <w:rsid w:val="008A4BAB"/>
    <w:rsid w:val="00925BC6"/>
    <w:rsid w:val="0094362E"/>
    <w:rsid w:val="00A71B80"/>
    <w:rsid w:val="00AA5CC3"/>
    <w:rsid w:val="00B80E1B"/>
    <w:rsid w:val="00B85489"/>
    <w:rsid w:val="00C61A50"/>
    <w:rsid w:val="00C8736E"/>
    <w:rsid w:val="00D31CC9"/>
    <w:rsid w:val="00D569C1"/>
    <w:rsid w:val="00D7192A"/>
    <w:rsid w:val="00E12FC4"/>
    <w:rsid w:val="00E44029"/>
    <w:rsid w:val="00E933BB"/>
    <w:rsid w:val="00F030D5"/>
    <w:rsid w:val="00F15D55"/>
    <w:rsid w:val="00F60778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B80E1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B80E1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94362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4362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B80E1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B80E1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94362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4362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16</cp:revision>
  <dcterms:created xsi:type="dcterms:W3CDTF">2021-06-15T12:22:00Z</dcterms:created>
  <dcterms:modified xsi:type="dcterms:W3CDTF">2021-06-18T08:36:00Z</dcterms:modified>
</cp:coreProperties>
</file>